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67d24212d408f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7122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Centar za pružanje usluga u zajednici Ivana Brlić Mažuranić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1.009.571,14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1.129.371,98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111,9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1.163.665,88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1.089.038,34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40.333,64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29.856,24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29.856,24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10.477,40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Prihodi poslovanja za razdoblje od 01.01.2026. do 30.06.2026. godine ostvareni su u iznosu od 1.129.371,98 eur-a, u odnosu na prošlu godinu za indeks od 111,90 . Novčana sredstva od donacija dobivena iznose 33.469,39 eur-a sa danom 30.06.2026. godine. Donacija sitan inventar iznosi 2.447,60 eur-a.  Ostvareni prihodi  po izvoru "31" od toplog obroka iznosi 3.045,00 eur-a.</w:t>
      </w:r>
    </w:p>
    <w:p>
      <w:r>
        <w:t xml:space="preserve">Rashodi poslovanja za razdoblje od 01.01.2026. do 30.06.2026. iznose 1.118.894,58 eur-a.</w:t>
      </w:r>
    </w:p>
    <w:p>
      <w:r>
        <w:t xml:space="preserve">Iz donacija je kupljena nefinancijska imovina u iznosu od 1.519,99 eur-a.</w:t>
      </w:r>
    </w:p>
    <w:p>
      <w:r>
        <w:t xml:space="preserve">Podizanje kvalitete i dostupnosti socijalne skrbi provedena je predmetna nabava, za koju su sredstva osigurana u Financijskom planu Ministarstva u okviru aktivnosti Hitne intervencije u sustavu socijalne skrbi. U Centru za pružanje usluga u zajednici Ivana Brlić-Mažuranić realizirana su dodatna ulaganja na građevinskim objektima, koja su obuhvatila zamjenu PVC i ALU stolarije. Ukupna vrijednost izvedenih radova iznosila je 28.336,25 eura.</w:t>
      </w:r>
    </w:p>
    <w:p>
      <w:r>
        <w:t xml:space="preserve">Iz navedenog proizlazi da je u izvještajnom razoblju 2026. godine ostvaren višak prihoda i primitaka u iznosu od 10.477,40 eur-a.</w:t>
      </w:r>
    </w:p>
    <w:p>
      <w:r>
        <w:t xml:space="preserve">Manjak prihoda i primitaka prenesen iz prethodne godine iznosi 60.730,12 eur-a, te je ostvaren manjak prihoda i primitaka koji će se pokriti u sljedećem razdoblju u iznosu od 50.252,72 eur-a.</w:t>
      </w:r>
    </w:p>
    <w:p>
      <w:r>
        <w:t xml:space="preserve">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 posebnim propisima (šifre 6521 do 6528)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985,78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265,40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26,9</w:t>
            </w:r>
          </w:p>
        </w:tc>
      </w:tr>
    </w:tbl>
    <w:p>
      <w:pPr>
        <w:spacing w:before="0" w:after="0"/>
      </w:pPr>
    </w:p>
    <w:p>
      <w:r>
        <w:t xml:space="preserve">Prihodi po posebnim propisima, te se odnose na uplate opskrbnina i participacija za korisnike.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proizvoda i robe te pruženih usluga (šifre 6614+6615)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3.045,00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Prihodi za topli obrok.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Donacije od pravnih i fizičkih osoba izvan općeg proračuna te povrat donacija i kapitalnih pomoći po protestiranim jamstvima (šifre 6631 do 6634)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14.254,68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35.916,99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252,0</w:t>
            </w:r>
          </w:p>
        </w:tc>
      </w:tr>
    </w:tbl>
    <w:p>
      <w:pPr>
        <w:spacing w:before="0" w:after="0"/>
      </w:pPr>
    </w:p>
    <w:p>
      <w:r>
        <w:t xml:space="preserve">Dobiveni prihodi donacija od pravnih i fizičkih osoba izvan općeg proračuna, isti se planiraju za pokriće materijalnih rashoda poslovanja i nabavku dugotrajne nefinancijske imovine za podizanje kvalitete standarda života korisnika Centra, ili za opće potrebe Centra ili prema namjenskom trošenju donacija koje su dobivene od pojedinih donatora.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1.015.543,15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933.960,68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92,0</w:t>
            </w:r>
          </w:p>
        </w:tc>
      </w:tr>
    </w:tbl>
    <w:p>
      <w:pPr>
        <w:spacing w:before="0" w:after="0"/>
      </w:pPr>
    </w:p>
    <w:p>
      <w:r>
        <w:t xml:space="preserve">Na dan 30.06.2026. godine u Centru je zaposleno 54 zaposlenika na neodređeno, i 2 zaposlenika na određeno radi zamjene za bolovanja/porodiljni.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(bruto) (šifre 3111 do 3114)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846.675,83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778.240,81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91,9</w:t>
            </w:r>
          </w:p>
        </w:tc>
      </w:tr>
    </w:tbl>
    <w:p>
      <w:pPr>
        <w:spacing w:before="0" w:after="0"/>
      </w:pPr>
    </w:p>
    <w:p>
      <w:r>
        <w:t xml:space="preserve">Plaće bruto iznose manje u odnosu na prošlu godinu jer je trošak za plaću prosinac 2025.godine evidentiran kao  trošak u 2025.godini, a ne preko obveze kontinuiranih rashoda, i trošak nije prikazan u siječnju 2026.godine.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Postrojenja i oprema (šifre 4221 do 4228)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1.519,99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Kupljeno je iz dobivenih novčanih sredstava donacije.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Centra se podmiruju prema rokovima dospijeća.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171.484,06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nedospjelih obveza na kraju izvještajnog razdoblja u iznosu od 171.484,06 eur-a odnosi se na obveze za zposlene, materijalne rashode te povrat boovanja na teret HZZO-a i kamate u državni proračun,te se cjelokupni iznos obveze podmiruje se u skladu s ugovorenim rokom plaćanja.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U izvještaju je prikazan samo prihod za plaću za prosinac 2025. godine, u iznosu od 2.373,05 eura i tereti izvor ''581'' iz projekta NPOO - nacionalni plan oporavka i otpornosti.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fc3931252ef4a74" /></Relationships>
</file>